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4F" w:rsidRDefault="009B50A0">
      <w:pPr>
        <w:pStyle w:val="30"/>
        <w:shd w:val="clear" w:color="auto" w:fill="auto"/>
        <w:spacing w:after="17" w:line="240" w:lineRule="exact"/>
        <w:ind w:right="60" w:firstLine="0"/>
      </w:pPr>
      <w:r>
        <w:t>ПРОТОКОЛ</w:t>
      </w:r>
    </w:p>
    <w:p w:rsidR="00706F4F" w:rsidRDefault="009B50A0">
      <w:pPr>
        <w:pStyle w:val="30"/>
        <w:shd w:val="clear" w:color="auto" w:fill="auto"/>
        <w:spacing w:after="270" w:line="240" w:lineRule="exact"/>
        <w:ind w:right="60" w:firstLine="0"/>
      </w:pPr>
      <w:r>
        <w:rPr>
          <w:rStyle w:val="31"/>
        </w:rPr>
        <w:t xml:space="preserve">собрания </w:t>
      </w:r>
      <w:r>
        <w:t>собственников многоквартирного жилого дома</w:t>
      </w:r>
    </w:p>
    <w:p w:rsidR="00706F4F" w:rsidRDefault="009B50A0">
      <w:pPr>
        <w:pStyle w:val="20"/>
        <w:shd w:val="clear" w:color="auto" w:fill="auto"/>
        <w:tabs>
          <w:tab w:val="left" w:pos="7666"/>
        </w:tabs>
        <w:spacing w:before="0"/>
      </w:pPr>
      <w:r>
        <w:t>Московская область. Истринский район</w:t>
      </w:r>
      <w:r>
        <w:tab/>
        <w:t xml:space="preserve">«27» ноября </w:t>
      </w:r>
      <w:r>
        <w:rPr>
          <w:rStyle w:val="21"/>
        </w:rPr>
        <w:t>2014г</w:t>
      </w:r>
    </w:p>
    <w:p w:rsidR="00706F4F" w:rsidRDefault="009B50A0">
      <w:pPr>
        <w:pStyle w:val="20"/>
        <w:shd w:val="clear" w:color="auto" w:fill="auto"/>
        <w:spacing w:before="0" w:after="296"/>
      </w:pPr>
      <w:r>
        <w:t>г.</w:t>
      </w:r>
      <w:r w:rsidR="004262CA">
        <w:t xml:space="preserve"> </w:t>
      </w:r>
      <w:r>
        <w:t>Истра</w:t>
      </w:r>
    </w:p>
    <w:p w:rsidR="00706F4F" w:rsidRDefault="009B50A0">
      <w:pPr>
        <w:pStyle w:val="20"/>
        <w:shd w:val="clear" w:color="auto" w:fill="auto"/>
        <w:spacing w:before="0" w:after="244" w:line="240" w:lineRule="exact"/>
      </w:pPr>
      <w:r>
        <w:t>Существенные факты:</w:t>
      </w:r>
    </w:p>
    <w:p w:rsidR="00706F4F" w:rsidRDefault="009B50A0">
      <w:pPr>
        <w:pStyle w:val="20"/>
        <w:shd w:val="clear" w:color="auto" w:fill="auto"/>
        <w:spacing w:before="0" w:after="267" w:line="274" w:lineRule="exact"/>
        <w:ind w:firstLine="800"/>
      </w:pPr>
      <w:r>
        <w:t xml:space="preserve">Многоквартирный жилой дом с кадастровым номером </w:t>
      </w:r>
      <w:r>
        <w:rPr>
          <w:rStyle w:val="22"/>
        </w:rPr>
        <w:t>50</w:t>
      </w:r>
      <w:r>
        <w:rPr>
          <w:rStyle w:val="211pt"/>
        </w:rPr>
        <w:t>:</w:t>
      </w:r>
      <w:r>
        <w:rPr>
          <w:rStyle w:val="22"/>
        </w:rPr>
        <w:t>08</w:t>
      </w:r>
      <w:r>
        <w:rPr>
          <w:rStyle w:val="211pt"/>
        </w:rPr>
        <w:t>:</w:t>
      </w:r>
      <w:r>
        <w:rPr>
          <w:rStyle w:val="22"/>
        </w:rPr>
        <w:t>0010204</w:t>
      </w:r>
      <w:r>
        <w:rPr>
          <w:rStyle w:val="211pt"/>
        </w:rPr>
        <w:t>:</w:t>
      </w:r>
      <w:r>
        <w:rPr>
          <w:rStyle w:val="22"/>
        </w:rPr>
        <w:t>175</w:t>
      </w:r>
      <w:r>
        <w:rPr>
          <w:rStyle w:val="211pt"/>
        </w:rPr>
        <w:t xml:space="preserve">, </w:t>
      </w:r>
      <w:r>
        <w:rPr>
          <w:rStyle w:val="21"/>
        </w:rPr>
        <w:t xml:space="preserve">общей </w:t>
      </w:r>
      <w:r>
        <w:t xml:space="preserve">площадью 16 145,1 </w:t>
      </w:r>
      <w:r>
        <w:rPr>
          <w:rStyle w:val="23"/>
        </w:rPr>
        <w:t xml:space="preserve">(шестнадцать тысяч сто сорок пять целых одина </w:t>
      </w:r>
      <w:r>
        <w:t xml:space="preserve">десятая) </w:t>
      </w:r>
      <w:r>
        <w:rPr>
          <w:rStyle w:val="21"/>
        </w:rPr>
        <w:t xml:space="preserve">кв.м., </w:t>
      </w:r>
      <w:r>
        <w:t xml:space="preserve">расположенный по адресу: </w:t>
      </w:r>
      <w:r>
        <w:rPr>
          <w:rStyle w:val="24"/>
        </w:rPr>
        <w:t xml:space="preserve">Московская область. Истринский район. г.п.Истра. г.Истра, </w:t>
      </w:r>
      <w:r>
        <w:rPr>
          <w:rStyle w:val="25"/>
        </w:rPr>
        <w:t xml:space="preserve">улица </w:t>
      </w:r>
      <w:r>
        <w:t>Рабоч</w:t>
      </w:r>
      <w:r>
        <w:rPr>
          <w:rStyle w:val="24"/>
        </w:rPr>
        <w:t>ая дом 2,</w:t>
      </w:r>
      <w:r>
        <w:t xml:space="preserve"> принадлежит ООО «ТИКЛЕС» на основании постановления ФЕДЕРАЛЬНОГО АРБИТРАЖНОГО СУДА МОСКОВСКОГО ОКРУГА от 26 мая 2014г № А41-17937/13. На момент принятия решения отчуждение отдельных помещений третьим лицам собственником </w:t>
      </w:r>
      <w:r>
        <w:rPr>
          <w:rStyle w:val="21"/>
        </w:rPr>
        <w:t xml:space="preserve">не </w:t>
      </w:r>
      <w:r>
        <w:t>осуществлялось. Единым собственником всех площадей является ООО «ТИКЛЕС».</w:t>
      </w:r>
    </w:p>
    <w:p w:rsidR="00706F4F" w:rsidRDefault="009B50A0">
      <w:pPr>
        <w:pStyle w:val="20"/>
        <w:shd w:val="clear" w:color="auto" w:fill="auto"/>
        <w:spacing w:before="0" w:after="253" w:line="240" w:lineRule="exact"/>
      </w:pPr>
      <w:r>
        <w:t>Присутствовали:</w:t>
      </w:r>
    </w:p>
    <w:p w:rsidR="00706F4F" w:rsidRDefault="009B50A0">
      <w:pPr>
        <w:pStyle w:val="20"/>
        <w:shd w:val="clear" w:color="auto" w:fill="auto"/>
        <w:spacing w:before="0" w:after="263" w:line="269" w:lineRule="exact"/>
      </w:pPr>
      <w:r>
        <w:t xml:space="preserve">Генеральный директор ООО «ТИКЛЕС» Матвеев Евгений Иванович, гражданин РФ, </w:t>
      </w:r>
      <w:r>
        <w:rPr>
          <w:rStyle w:val="21"/>
        </w:rPr>
        <w:t xml:space="preserve">паспорт </w:t>
      </w:r>
      <w:r>
        <w:t xml:space="preserve">97 00 № 130019, выдан Вурнарским РОВД Чувашской Республики 23.08.2000 </w:t>
      </w:r>
      <w:r>
        <w:rPr>
          <w:rStyle w:val="21"/>
        </w:rPr>
        <w:t xml:space="preserve">г., </w:t>
      </w:r>
      <w:r>
        <w:t xml:space="preserve">код подразделения 212-004, зарегистрированный по адресу: Россия, Московская </w:t>
      </w:r>
      <w:r>
        <w:rPr>
          <w:rStyle w:val="21"/>
        </w:rPr>
        <w:t xml:space="preserve">обл., </w:t>
      </w:r>
      <w:r>
        <w:t xml:space="preserve">Красногорский </w:t>
      </w:r>
      <w:r>
        <w:rPr>
          <w:lang w:val="en-US" w:eastAsia="en-US" w:bidi="en-US"/>
        </w:rPr>
        <w:t>p</w:t>
      </w:r>
      <w:r>
        <w:t>-он, пос. Архангельское, д. 39, кв. 19.</w:t>
      </w:r>
    </w:p>
    <w:p w:rsidR="00706F4F" w:rsidRDefault="009B50A0">
      <w:pPr>
        <w:pStyle w:val="20"/>
        <w:shd w:val="clear" w:color="auto" w:fill="auto"/>
        <w:spacing w:before="0" w:after="239" w:line="240" w:lineRule="exact"/>
      </w:pPr>
      <w:r>
        <w:t>Повестка дня собрания:</w:t>
      </w:r>
    </w:p>
    <w:p w:rsidR="00706F4F" w:rsidRDefault="009B50A0" w:rsidP="004262CA">
      <w:pPr>
        <w:pStyle w:val="30"/>
        <w:numPr>
          <w:ilvl w:val="0"/>
          <w:numId w:val="1"/>
        </w:numPr>
        <w:shd w:val="clear" w:color="auto" w:fill="auto"/>
        <w:spacing w:after="507" w:line="274" w:lineRule="exact"/>
        <w:jc w:val="both"/>
      </w:pPr>
      <w:r>
        <w:rPr>
          <w:rStyle w:val="31"/>
        </w:rPr>
        <w:t xml:space="preserve">О выборе способа </w:t>
      </w:r>
      <w:r>
        <w:t xml:space="preserve">управления многоквартирным жилым домом </w:t>
      </w:r>
      <w:r>
        <w:rPr>
          <w:rStyle w:val="31"/>
        </w:rPr>
        <w:t xml:space="preserve">по адресу: Московская область, </w:t>
      </w:r>
      <w:r>
        <w:t xml:space="preserve">Истринский район, г. Истра, ул. </w:t>
      </w:r>
      <w:r>
        <w:rPr>
          <w:rStyle w:val="31"/>
        </w:rPr>
        <w:t xml:space="preserve">Рабочая, </w:t>
      </w:r>
      <w:r>
        <w:rPr>
          <w:rStyle w:val="32"/>
        </w:rPr>
        <w:t xml:space="preserve">д. </w:t>
      </w:r>
      <w:r>
        <w:rPr>
          <w:rStyle w:val="31"/>
        </w:rPr>
        <w:t xml:space="preserve">2, принадлежащем </w:t>
      </w:r>
      <w:r>
        <w:t>ООО «ТИКЛЕС» и выборе управляющей компании</w:t>
      </w:r>
    </w:p>
    <w:p w:rsidR="004262CA" w:rsidRDefault="004262CA" w:rsidP="004262CA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56" w:line="307" w:lineRule="exact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4262CA" w:rsidRDefault="004262CA" w:rsidP="004262CA">
      <w:pPr>
        <w:pStyle w:val="30"/>
        <w:shd w:val="clear" w:color="auto" w:fill="auto"/>
        <w:spacing w:after="507" w:line="274" w:lineRule="exact"/>
        <w:ind w:left="840" w:firstLine="0"/>
        <w:jc w:val="both"/>
      </w:pPr>
    </w:p>
    <w:p w:rsidR="004262CA" w:rsidRDefault="004262CA" w:rsidP="004262CA">
      <w:pPr>
        <w:keepNext/>
        <w:keepLines/>
        <w:spacing w:line="274" w:lineRule="exact"/>
        <w:jc w:val="both"/>
      </w:pPr>
      <w:bookmarkStart w:id="0" w:name="bookmark2"/>
      <w:r>
        <w:rPr>
          <w:rStyle w:val="140"/>
          <w:rFonts w:eastAsia="Arial Unicode MS"/>
        </w:rPr>
        <w:t>По 1 вопросу повестки дня:</w:t>
      </w:r>
      <w:bookmarkEnd w:id="0"/>
    </w:p>
    <w:p w:rsidR="004262CA" w:rsidRDefault="004262CA">
      <w:pPr>
        <w:pStyle w:val="20"/>
        <w:shd w:val="clear" w:color="auto" w:fill="auto"/>
        <w:spacing w:before="0" w:after="243" w:line="240" w:lineRule="exact"/>
        <w:rPr>
          <w:b/>
          <w:bCs/>
        </w:rPr>
      </w:pPr>
    </w:p>
    <w:p w:rsidR="00706F4F" w:rsidRDefault="009B50A0">
      <w:pPr>
        <w:pStyle w:val="20"/>
        <w:shd w:val="clear" w:color="auto" w:fill="auto"/>
        <w:spacing w:before="0" w:after="243" w:line="240" w:lineRule="exact"/>
      </w:pPr>
      <w:r>
        <w:t>РЕШИЛИ:</w:t>
      </w:r>
    </w:p>
    <w:p w:rsidR="00706F4F" w:rsidRDefault="009B50A0">
      <w:pPr>
        <w:pStyle w:val="20"/>
        <w:shd w:val="clear" w:color="auto" w:fill="auto"/>
        <w:spacing w:before="0" w:after="323" w:line="269" w:lineRule="exact"/>
        <w:ind w:firstLine="800"/>
      </w:pPr>
      <w:r>
        <w:t>Руководствуясь законодательством РФ в части обеспечения надлежащей эксплуатации объектов жилищного назначения, а также с целью рационального использования ресурсов и обеспечения надлежащего содержания имущества ООО «ТИКЛЕС», выбрать в качестве способа управления многоквартирным жилым домом, управление управляющей компанией (пп. 3 и. 2 ст. 161 ЖК РФ) с привлечением Общества с ограниченной ответственностью «УК «ФЕНИКС» (ОГРН 1117746161422).</w:t>
      </w:r>
    </w:p>
    <w:p w:rsidR="00706F4F" w:rsidRDefault="009B50A0">
      <w:pPr>
        <w:pStyle w:val="20"/>
        <w:shd w:val="clear" w:color="auto" w:fill="auto"/>
        <w:spacing w:before="0" w:after="528" w:line="240" w:lineRule="exact"/>
      </w:pPr>
      <w:r>
        <w:t>Голосовали: единогласно «ЗА»</w:t>
      </w:r>
    </w:p>
    <w:p w:rsidR="004262CA" w:rsidRDefault="004262CA">
      <w:pPr>
        <w:pStyle w:val="20"/>
        <w:shd w:val="clear" w:color="auto" w:fill="auto"/>
        <w:spacing w:before="0" w:after="528" w:line="240" w:lineRule="exact"/>
      </w:pPr>
    </w:p>
    <w:p w:rsidR="004262CA" w:rsidRDefault="004262CA" w:rsidP="004262CA">
      <w:pPr>
        <w:keepNext/>
        <w:keepLines/>
        <w:spacing w:line="274" w:lineRule="exact"/>
        <w:jc w:val="both"/>
        <w:rPr>
          <w:rStyle w:val="140"/>
          <w:rFonts w:eastAsia="Arial Unicode MS"/>
        </w:rPr>
      </w:pPr>
      <w:r>
        <w:rPr>
          <w:rStyle w:val="140"/>
          <w:rFonts w:eastAsia="Arial Unicode MS"/>
        </w:rPr>
        <w:lastRenderedPageBreak/>
        <w:t>По 2</w:t>
      </w:r>
      <w:r>
        <w:rPr>
          <w:rStyle w:val="140"/>
          <w:rFonts w:eastAsia="Arial Unicode MS"/>
        </w:rPr>
        <w:t xml:space="preserve"> вопросу повестки дня:</w:t>
      </w:r>
    </w:p>
    <w:p w:rsidR="004262CA" w:rsidRDefault="004262CA" w:rsidP="004262CA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r w:rsidRPr="00F62992">
        <w:rPr>
          <w:b/>
        </w:rPr>
        <w:t>РЕШИЛИ:</w:t>
      </w:r>
      <w: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4262CA" w:rsidRPr="000864A5" w:rsidRDefault="004262CA" w:rsidP="004262CA">
      <w:pPr>
        <w:pStyle w:val="20"/>
        <w:shd w:val="clear" w:color="auto" w:fill="auto"/>
        <w:tabs>
          <w:tab w:val="left" w:pos="1408"/>
        </w:tabs>
        <w:spacing w:after="56" w:line="307" w:lineRule="exact"/>
        <w:jc w:val="left"/>
      </w:pPr>
      <w:bookmarkStart w:id="1" w:name="_GoBack"/>
      <w:bookmarkEnd w:id="1"/>
    </w:p>
    <w:p w:rsidR="004262CA" w:rsidRDefault="004262CA" w:rsidP="004262CA">
      <w:pPr>
        <w:pStyle w:val="20"/>
        <w:shd w:val="clear" w:color="auto" w:fill="auto"/>
        <w:spacing w:before="0" w:after="528" w:line="240" w:lineRule="exact"/>
      </w:pPr>
      <w:r>
        <w:t>Голосовали: единогласно «ЗА»</w:t>
      </w:r>
    </w:p>
    <w:p w:rsidR="004262CA" w:rsidRDefault="004262CA" w:rsidP="004262CA">
      <w:pPr>
        <w:keepNext/>
        <w:keepLines/>
        <w:spacing w:line="274" w:lineRule="exact"/>
        <w:jc w:val="both"/>
      </w:pPr>
    </w:p>
    <w:p w:rsidR="004262CA" w:rsidRDefault="004262CA">
      <w:pPr>
        <w:pStyle w:val="20"/>
        <w:shd w:val="clear" w:color="auto" w:fill="auto"/>
        <w:spacing w:before="0" w:after="528" w:line="240" w:lineRule="exact"/>
      </w:pPr>
    </w:p>
    <w:p w:rsidR="00706F4F" w:rsidRDefault="009B50A0">
      <w:pPr>
        <w:pStyle w:val="20"/>
        <w:shd w:val="clear" w:color="auto" w:fill="auto"/>
        <w:spacing w:before="0" w:after="533" w:line="240" w:lineRule="exact"/>
        <w:ind w:firstLine="800"/>
      </w:pPr>
      <w:r>
        <w:t>Подписи:</w:t>
      </w:r>
    </w:p>
    <w:p w:rsidR="00706F4F" w:rsidRDefault="00400B05">
      <w:pPr>
        <w:pStyle w:val="20"/>
        <w:shd w:val="clear" w:color="auto" w:fill="auto"/>
        <w:spacing w:before="0" w:line="240" w:lineRule="exact"/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3151505</wp:posOffset>
            </wp:positionH>
            <wp:positionV relativeFrom="paragraph">
              <wp:posOffset>-204470</wp:posOffset>
            </wp:positionV>
            <wp:extent cx="1450975" cy="1359535"/>
            <wp:effectExtent l="0" t="0" r="0" b="0"/>
            <wp:wrapSquare wrapText="left"/>
            <wp:docPr id="2" name="Рисунок 2" descr="C:\Users\GARIFU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FU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A0">
        <w:t>Председатель собрания</w:t>
      </w:r>
    </w:p>
    <w:p w:rsidR="00706F4F" w:rsidRDefault="00400B05">
      <w:pPr>
        <w:pStyle w:val="20"/>
        <w:shd w:val="clear" w:color="auto" w:fill="auto"/>
        <w:spacing w:before="0" w:line="547" w:lineRule="exact"/>
      </w:pPr>
      <w:r>
        <w:rPr>
          <w:noProof/>
          <w:lang w:bidi="ar-SA"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1170305</wp:posOffset>
            </wp:positionH>
            <wp:positionV relativeFrom="paragraph">
              <wp:posOffset>-27305</wp:posOffset>
            </wp:positionV>
            <wp:extent cx="1950720" cy="1402080"/>
            <wp:effectExtent l="0" t="0" r="0" b="7620"/>
            <wp:wrapSquare wrapText="bothSides"/>
            <wp:docPr id="3" name="Рисунок 3" descr="C:\Users\GARIFU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IFU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A0">
        <w:t>Матвеев Евгений Иванович Секретарь собрания Матвеев Евгений</w:t>
      </w:r>
    </w:p>
    <w:sectPr w:rsidR="00706F4F">
      <w:pgSz w:w="11900" w:h="16840"/>
      <w:pgMar w:top="1248" w:right="898" w:bottom="47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022" w:rsidRDefault="00CD3022">
      <w:r>
        <w:separator/>
      </w:r>
    </w:p>
  </w:endnote>
  <w:endnote w:type="continuationSeparator" w:id="0">
    <w:p w:rsidR="00CD3022" w:rsidRDefault="00CD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022" w:rsidRDefault="00CD3022"/>
  </w:footnote>
  <w:footnote w:type="continuationSeparator" w:id="0">
    <w:p w:rsidR="00CD3022" w:rsidRDefault="00CD30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27ECA"/>
    <w:multiLevelType w:val="hybridMultilevel"/>
    <w:tmpl w:val="F19EDD0A"/>
    <w:lvl w:ilvl="0" w:tplc="1F8A5DF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4F"/>
    <w:rsid w:val="001664BB"/>
    <w:rsid w:val="001E4802"/>
    <w:rsid w:val="00400B05"/>
    <w:rsid w:val="004262CA"/>
    <w:rsid w:val="00706F4F"/>
    <w:rsid w:val="009B50A0"/>
    <w:rsid w:val="00C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407"/>
  <w15:docId w15:val="{72212096-66A4-4A76-ACE0-FB260225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3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 (4)_"/>
    <w:basedOn w:val="a0"/>
    <w:rsid w:val="00426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Заголовок №1 (4)"/>
    <w:basedOn w:val="14"/>
    <w:rsid w:val="004262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Гарифуллина С.О.</dc:creator>
  <cp:lastModifiedBy>Афонина О.А.</cp:lastModifiedBy>
  <cp:revision>3</cp:revision>
  <dcterms:created xsi:type="dcterms:W3CDTF">2017-08-02T10:50:00Z</dcterms:created>
  <dcterms:modified xsi:type="dcterms:W3CDTF">2017-08-02T10:56:00Z</dcterms:modified>
</cp:coreProperties>
</file>