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6F7C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F7C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44 257,86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F7C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40 515,73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F7CB0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22 884,55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6F7CB0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7C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10 794,60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7C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7CB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964,80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F7CB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5 253,37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F7CB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22 668,66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6F7CB0" w:rsidP="000A5070">
            <w:r>
              <w:t xml:space="preserve">11 858,92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6F7CB0" w:rsidP="00A83E34">
            <w:r>
              <w:t>19 131,63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6F7CB0" w:rsidP="00435C99">
            <w:r>
              <w:t>4 868,36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6F7CB0" w:rsidP="001B3275">
            <w:r>
              <w:t xml:space="preserve">5 937,03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6F7CB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2017-08-24T11:49:00Z</dcterms:modified>
</cp:coreProperties>
</file>